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7844981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B123A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6AEE595C" w14:textId="09654623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EB123A" w:rsidRPr="002A2703">
        <w:rPr>
          <w:rFonts w:eastAsia="Times New Roman" w:cs="Times New Roman"/>
          <w:b/>
          <w:lang w:eastAsia="cs-CZ"/>
        </w:rPr>
        <w:t>„</w:t>
      </w:r>
      <w:bookmarkEnd w:id="1"/>
      <w:r w:rsidR="00EB123A" w:rsidRPr="002A2703">
        <w:rPr>
          <w:rFonts w:eastAsia="Times New Roman" w:cs="Times New Roman"/>
          <w:b/>
          <w:lang w:eastAsia="cs-CZ"/>
        </w:rPr>
        <w:t>Ochrana perimetru a DMZ – Anti-</w:t>
      </w:r>
      <w:proofErr w:type="spellStart"/>
      <w:r w:rsidR="00EB123A" w:rsidRPr="002A2703">
        <w:rPr>
          <w:rFonts w:eastAsia="Times New Roman" w:cs="Times New Roman"/>
          <w:b/>
          <w:lang w:eastAsia="cs-CZ"/>
        </w:rPr>
        <w:t>DDoS</w:t>
      </w:r>
      <w:proofErr w:type="spellEnd"/>
      <w:r w:rsidR="00EB123A" w:rsidRPr="002A2703">
        <w:rPr>
          <w:rFonts w:eastAsia="Times New Roman" w:cs="Times New Roman"/>
          <w:b/>
          <w:lang w:eastAsia="cs-CZ"/>
        </w:rPr>
        <w:t xml:space="preserve"> řešení a internetová konektivita“, </w:t>
      </w:r>
      <w:r w:rsidR="00EB123A" w:rsidRPr="002A2703">
        <w:rPr>
          <w:rFonts w:eastAsia="Times New Roman" w:cs="Times New Roman"/>
          <w:lang w:eastAsia="cs-CZ"/>
        </w:rPr>
        <w:t xml:space="preserve">č.j. </w:t>
      </w:r>
      <w:r w:rsidR="00776F20" w:rsidRPr="00776F20">
        <w:rPr>
          <w:rFonts w:eastAsia="Verdana" w:cs="Times New Roman"/>
        </w:rPr>
        <w:t>6457</w:t>
      </w:r>
      <w:r w:rsidR="006F00F5" w:rsidRPr="006F00F5">
        <w:rPr>
          <w:rFonts w:eastAsia="Verdana" w:cs="Times New Roman"/>
        </w:rPr>
        <w:t>/2023-SŽ-GŘ-O8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“)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DE49C6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jc w:val="both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2AC00" w14:textId="77777777" w:rsidR="00911149" w:rsidRDefault="00911149" w:rsidP="00962258">
      <w:pPr>
        <w:spacing w:after="0" w:line="240" w:lineRule="auto"/>
      </w:pPr>
      <w:r>
        <w:separator/>
      </w:r>
    </w:p>
  </w:endnote>
  <w:endnote w:type="continuationSeparator" w:id="0">
    <w:p w14:paraId="0FFDF236" w14:textId="77777777" w:rsidR="00911149" w:rsidRDefault="0091114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50C2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80AD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D859C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9983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C6113" w14:textId="77777777" w:rsidR="00911149" w:rsidRDefault="00911149" w:rsidP="00962258">
      <w:pPr>
        <w:spacing w:after="0" w:line="240" w:lineRule="auto"/>
      </w:pPr>
      <w:r>
        <w:separator/>
      </w:r>
    </w:p>
  </w:footnote>
  <w:footnote w:type="continuationSeparator" w:id="0">
    <w:p w14:paraId="3E779B1C" w14:textId="77777777" w:rsidR="00911149" w:rsidRDefault="00911149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sz w:val="16"/>
          <w:szCs w:val="16"/>
        </w:rPr>
        <w:footnoteRef/>
      </w:r>
      <w:r w:rsidRPr="00D84BA1">
        <w:rPr>
          <w:rFonts w:asciiTheme="majorHAnsi" w:hAnsiTheme="majorHAnsi" w:cs="Segoe UI"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187 zákona č. 89/2012 Sb., občanský zákoník, ve znění pozdějších předpisů</w:t>
      </w:r>
      <w:r w:rsidR="00726659">
        <w:rPr>
          <w:rFonts w:asciiTheme="majorHAnsi" w:hAnsiTheme="majorHAnsi" w:cs="Segoe UI"/>
          <w:i/>
          <w:sz w:val="16"/>
          <w:szCs w:val="16"/>
        </w:rPr>
        <w:t>.</w:t>
      </w:r>
    </w:p>
  </w:footnote>
  <w:footnote w:id="3">
    <w:p w14:paraId="0714494B" w14:textId="753644B0" w:rsidR="00D84BA1" w:rsidRPr="00D84BA1" w:rsidRDefault="00D84BA1" w:rsidP="00D84BA1">
      <w:pPr>
        <w:pStyle w:val="Textpoznpodarou"/>
        <w:spacing w:after="120" w:line="276" w:lineRule="auto"/>
        <w:jc w:val="both"/>
        <w:rPr>
          <w:rFonts w:asciiTheme="majorHAnsi" w:hAnsiTheme="majorHAns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="00726659">
        <w:rPr>
          <w:rFonts w:asciiTheme="majorHAnsi" w:hAnsiTheme="majorHAnsi" w:cs="Segoe UI"/>
          <w:i/>
          <w:sz w:val="16"/>
          <w:szCs w:val="16"/>
        </w:rPr>
        <w:t xml:space="preserve"> </w:t>
      </w:r>
      <w:r w:rsidRPr="00D84BA1">
        <w:rPr>
          <w:rFonts w:asciiTheme="majorHAnsi" w:hAnsiTheme="majorHAnsi" w:cs="Segoe UI"/>
          <w:i/>
          <w:sz w:val="16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D84BA1">
        <w:rPr>
          <w:rStyle w:val="Znakapoznpodarou"/>
          <w:rFonts w:asciiTheme="majorHAnsi" w:hAnsiTheme="majorHAnsi" w:cs="Segoe UI"/>
          <w:i/>
          <w:sz w:val="16"/>
          <w:szCs w:val="16"/>
        </w:rPr>
        <w:footnoteRef/>
      </w:r>
      <w:r w:rsidRPr="00D84BA1">
        <w:rPr>
          <w:rFonts w:asciiTheme="majorHAnsi" w:hAnsiTheme="majorHAnsi" w:cs="Segoe UI"/>
          <w:i/>
          <w:sz w:val="16"/>
          <w:szCs w:val="16"/>
        </w:rPr>
        <w:t xml:space="preserve"> Například zákon č. 21/1992 Sb., o bankách, ve znění pozdějších předpisů, zákon č. 87/1995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spořitelních a úvěrních družstvech a některých opatřeních s tím souvisejících a o doplnění zákona České národní rady č. 586/1992 Sb., o daních z příjmů, ve znění pozdějších předpisů, zákon č. 363/1999 Sb., o</w:t>
      </w:r>
      <w:r>
        <w:rPr>
          <w:rFonts w:asciiTheme="majorHAnsi" w:hAnsiTheme="majorHAnsi" w:cs="Segoe UI"/>
          <w:i/>
          <w:sz w:val="16"/>
          <w:szCs w:val="16"/>
        </w:rPr>
        <w:t> </w:t>
      </w:r>
      <w:r w:rsidRPr="00D84BA1">
        <w:rPr>
          <w:rFonts w:asciiTheme="majorHAnsi" w:hAnsiTheme="majorHAnsi" w:cs="Segoe UI"/>
          <w:i/>
          <w:sz w:val="16"/>
          <w:szCs w:val="16"/>
        </w:rPr>
        <w:t>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20E8"/>
    <w:rsid w:val="005F1404"/>
    <w:rsid w:val="0061068E"/>
    <w:rsid w:val="00633DD6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F00F5"/>
    <w:rsid w:val="00710723"/>
    <w:rsid w:val="00723ED1"/>
    <w:rsid w:val="00724A6D"/>
    <w:rsid w:val="00726659"/>
    <w:rsid w:val="00743525"/>
    <w:rsid w:val="0076286B"/>
    <w:rsid w:val="00766846"/>
    <w:rsid w:val="0077673A"/>
    <w:rsid w:val="00776F20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14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457EE"/>
    <w:rsid w:val="00D6163D"/>
    <w:rsid w:val="00D73D46"/>
    <w:rsid w:val="00D831A3"/>
    <w:rsid w:val="00D84BA1"/>
    <w:rsid w:val="00DC75F3"/>
    <w:rsid w:val="00DD46F3"/>
    <w:rsid w:val="00DE49C6"/>
    <w:rsid w:val="00DE56F2"/>
    <w:rsid w:val="00DF116D"/>
    <w:rsid w:val="00E2278C"/>
    <w:rsid w:val="00EB104F"/>
    <w:rsid w:val="00EB123A"/>
    <w:rsid w:val="00EB2C29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2023-01-26T11:31:00Z</dcterms:modified>
</cp:coreProperties>
</file>